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Annexe 1 : documents à fournir lors d’une demande de subvention dans DAUPHIN</w:t>
      </w:r>
    </w:p>
    <w:tbl>
      <w:tblPr>
        <w:tblStyle w:val="Trameclaire-Accent4"/>
        <w:tblW w:w="99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6"/>
        <w:gridCol w:w="1841"/>
        <w:gridCol w:w="2041"/>
        <w:gridCol w:w="403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tabs>
                <w:tab w:val="clear" w:pos="708"/>
                <w:tab w:val="left" w:pos="553" w:leader="none"/>
              </w:tabs>
              <w:spacing w:lineRule="auto" w:line="240"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Liste des documents à fournir</w:t>
            </w:r>
          </w:p>
        </w:tc>
        <w:tc>
          <w:tcPr>
            <w:tcW w:w="1841" w:type="dxa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Situation 1 : Première demande</w:t>
            </w:r>
          </w:p>
        </w:tc>
        <w:tc>
          <w:tcPr>
            <w:tcW w:w="2041" w:type="dxa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Situation 2 : Demande déjà effectuée auparavant</w:t>
            </w:r>
          </w:p>
        </w:tc>
        <w:tc>
          <w:tcPr>
            <w:tcW w:w="4037" w:type="dxa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Précisions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Un IBAN récent</w:t>
            </w:r>
          </w:p>
        </w:tc>
        <w:tc>
          <w:tcPr>
            <w:tcW w:w="1841" w:type="dxa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OUI</w:t>
            </w:r>
          </w:p>
        </w:tc>
        <w:tc>
          <w:tcPr>
            <w:tcW w:w="2041" w:type="dxa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OUI</w:t>
            </w:r>
          </w:p>
        </w:tc>
        <w:tc>
          <w:tcPr>
            <w:tcW w:w="4037" w:type="dxa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La dénomination et d’adresse de l’IBAN doit être </w:t>
            </w:r>
            <w:r>
              <w:rPr>
                <w:rFonts w:eastAsia="Calibri" w:cs=""/>
                <w:b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identique à celles </w:t>
            </w: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du SIRET de l’association</w:t>
            </w:r>
          </w:p>
        </w:tc>
      </w:tr>
      <w:tr>
        <w:trPr/>
        <w:tc>
          <w:tcPr>
            <w:tcW w:w="2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b w:val="false"/>
                <w:bCs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Les statuts de l’association</w:t>
            </w:r>
          </w:p>
        </w:tc>
        <w:tc>
          <w:tcPr>
            <w:tcW w:w="1841" w:type="dxa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OUI</w:t>
            </w:r>
          </w:p>
        </w:tc>
        <w:tc>
          <w:tcPr>
            <w:tcW w:w="2041" w:type="dxa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NON </w:t>
            </w:r>
            <w:r>
              <w:rPr>
                <w:rFonts w:eastAsia="Calibri" w:cs=""/>
                <w:i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sauf changement</w:t>
            </w:r>
          </w:p>
        </w:tc>
        <w:tc>
          <w:tcPr>
            <w:tcW w:w="4037" w:type="dxa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b/>
                <w:color w:val="5F497A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b w:val="false"/>
                <w:bCs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Liste des dirigeants de la structure</w:t>
            </w:r>
          </w:p>
        </w:tc>
        <w:tc>
          <w:tcPr>
            <w:tcW w:w="1841" w:type="dxa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OUI</w:t>
            </w:r>
          </w:p>
        </w:tc>
        <w:tc>
          <w:tcPr>
            <w:tcW w:w="2041" w:type="dxa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NON sauf changement</w:t>
            </w:r>
          </w:p>
        </w:tc>
        <w:tc>
          <w:tcPr>
            <w:tcW w:w="4037" w:type="dxa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b/>
                <w:color w:val="5F497A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b w:val="false"/>
                <w:bCs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Une attestation sur l’honneur signée </w:t>
            </w:r>
          </w:p>
        </w:tc>
        <w:tc>
          <w:tcPr>
            <w:tcW w:w="1841" w:type="dxa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OUI</w:t>
            </w:r>
          </w:p>
        </w:tc>
        <w:tc>
          <w:tcPr>
            <w:tcW w:w="2041" w:type="dxa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OUI </w:t>
            </w:r>
            <w:r>
              <w:rPr>
                <w:rFonts w:eastAsia="Calibri" w:cs=""/>
                <w:i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sauf signature via le compte signataire dans Dauphin</w:t>
            </w:r>
          </w:p>
        </w:tc>
        <w:tc>
          <w:tcPr>
            <w:tcW w:w="4037" w:type="dxa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Le modèle est à télécharger dans Dauphin. Le montant du budget demandé à la politique de la ville pour </w:t>
            </w:r>
            <w:r>
              <w:rPr>
                <w:rFonts w:eastAsia="Calibri" w:cs=""/>
                <w:b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une</w:t>
            </w: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 action doit être identique au montant figurant dans l’attestation. Une action = une attestation sur l’honneur.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tabs>
                <w:tab w:val="clear" w:pos="708"/>
                <w:tab w:val="left" w:pos="553" w:leader="none"/>
              </w:tabs>
              <w:spacing w:lineRule="auto" w:line="240" w:before="0" w:after="0"/>
              <w:jc w:val="left"/>
              <w:rPr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b w:val="false"/>
                <w:bCs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Les derniers comptes annuels </w:t>
            </w:r>
          </w:p>
        </w:tc>
        <w:tc>
          <w:tcPr>
            <w:tcW w:w="1841" w:type="dxa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OUI</w:t>
            </w:r>
          </w:p>
        </w:tc>
        <w:tc>
          <w:tcPr>
            <w:tcW w:w="2041" w:type="dxa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OUI</w:t>
            </w:r>
          </w:p>
        </w:tc>
        <w:tc>
          <w:tcPr>
            <w:tcW w:w="4037" w:type="dxa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Les derniers comptes annuels sont 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-le bilan comptable (actif/passif)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-le compte de résultat (recettes et charges et résultat en découlant)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Ils doivent avoir été approuvés et signés par assemblée générale ou par le commissaire aux comptes</w:t>
            </w:r>
          </w:p>
        </w:tc>
      </w:tr>
      <w:tr>
        <w:trPr/>
        <w:tc>
          <w:tcPr>
            <w:tcW w:w="2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b w:val="false"/>
                <w:bCs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Rapport du commissaire aux comptes</w:t>
            </w:r>
          </w:p>
        </w:tc>
        <w:tc>
          <w:tcPr>
            <w:tcW w:w="1841" w:type="dxa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OUI </w:t>
            </w:r>
            <w:r>
              <w:rPr>
                <w:rFonts w:eastAsia="Calibri" w:cs=""/>
                <w:i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si obligation légale d’avoir d’un commissaire aux comptes (subventions ou dons supérieures à 153 000 € notamment)</w:t>
            </w:r>
          </w:p>
        </w:tc>
        <w:tc>
          <w:tcPr>
            <w:tcW w:w="2041" w:type="dxa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OUI </w:t>
            </w:r>
            <w:r>
              <w:rPr>
                <w:rFonts w:eastAsia="Calibri" w:cs=""/>
                <w:i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si obligation légale de disposer d’un commissaire aux comptes</w:t>
            </w:r>
          </w:p>
        </w:tc>
        <w:tc>
          <w:tcPr>
            <w:tcW w:w="4037" w:type="dxa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La nomination d’un commissaire aux comptes est </w:t>
            </w:r>
            <w:r>
              <w:rPr>
                <w:rFonts w:eastAsia="Calibri" w:cs=""/>
                <w:b/>
                <w:bCs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obligatoire</w:t>
            </w: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 dans un certain nombre de cas. Pour plus de</w:t>
            </w:r>
            <w:r>
              <w:rPr>
                <w:rFonts w:eastAsia="Calibri" w:cs=""/>
                <w:b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précisions : </w:t>
            </w:r>
            <w:hyperlink r:id="rId2">
              <w:r>
                <w:rPr>
                  <w:rStyle w:val="LienInternet"/>
                  <w:rFonts w:eastAsia="Calibri" w:cs=""/>
                  <w:color w:val="5F497A"/>
                  <w:kern w:val="0"/>
                  <w:sz w:val="24"/>
                  <w:szCs w:val="24"/>
                  <w:lang w:val="fr-FR" w:eastAsia="en-US" w:bidi="ar-SA"/>
                </w:rPr>
                <w:t>https://www.service-public.fr/associations/vosdroits/F2907</w:t>
              </w:r>
            </w:hyperlink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Lorsqu’une association a perçu plus de 153 000 € de subventions, y compris les contrats aidés, au titre d’une année, elle a l’obligation de disposer d’un commissaire au compte.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bCs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A défaut de commissaire aux comptes et en présence d’une obligation légale, les demandes de subvention sont </w:t>
            </w:r>
            <w:r>
              <w:rPr>
                <w:rFonts w:eastAsia="Calibri" w:cs=""/>
                <w:b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obligatoirement déclarées irrecevables.</w:t>
            </w:r>
            <w:r>
              <w:rPr>
                <w:rFonts w:eastAsia="Calibri" w:cs=""/>
                <w:bCs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b w:val="false"/>
                <w:bCs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Budget prévisionnel de la structure</w:t>
            </w:r>
          </w:p>
        </w:tc>
        <w:tc>
          <w:tcPr>
            <w:tcW w:w="1841" w:type="dxa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OUI</w:t>
            </w:r>
          </w:p>
        </w:tc>
        <w:tc>
          <w:tcPr>
            <w:tcW w:w="2041" w:type="dxa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OUI</w:t>
            </w:r>
          </w:p>
        </w:tc>
        <w:tc>
          <w:tcPr>
            <w:tcW w:w="4037" w:type="dxa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Le montant du budget prévisionnel doit inclure les subventions demandées.</w:t>
            </w:r>
          </w:p>
        </w:tc>
      </w:tr>
      <w:tr>
        <w:trPr/>
        <w:tc>
          <w:tcPr>
            <w:tcW w:w="2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b w:val="false"/>
                <w:bCs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Délégation de signature pour attestation sur l’honneur</w:t>
            </w:r>
          </w:p>
        </w:tc>
        <w:tc>
          <w:tcPr>
            <w:tcW w:w="1841" w:type="dxa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OUI </w:t>
            </w:r>
            <w:r>
              <w:rPr>
                <w:rFonts w:eastAsia="Calibri" w:cs=""/>
                <w:i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si absence de signature par le représentant légal</w:t>
            </w:r>
          </w:p>
        </w:tc>
        <w:tc>
          <w:tcPr>
            <w:tcW w:w="2041" w:type="dxa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OUI </w:t>
            </w:r>
            <w:r>
              <w:rPr>
                <w:rFonts w:eastAsia="Calibri" w:cs=""/>
                <w:i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si absence de 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i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- signature par le représentant légal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i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- de compte signataire dans Dauphin</w:t>
            </w:r>
          </w:p>
        </w:tc>
        <w:tc>
          <w:tcPr>
            <w:tcW w:w="4037" w:type="dxa"/>
            <w:tcBorders>
              <w:left w:val="single" w:sz="8" w:space="0" w:color="8064A2"/>
              <w:right w:val="single" w:sz="8" w:space="0" w:color="8064A2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b/>
                <w:color w:val="5F497A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Compte rendu financier de la subvention N-1</w:t>
            </w:r>
          </w:p>
        </w:tc>
        <w:tc>
          <w:tcPr>
            <w:tcW w:w="1841" w:type="dxa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color w:val="000000" w:themeColor="text1"/>
                <w:kern w:val="0"/>
                <w:sz w:val="56"/>
                <w:szCs w:val="24"/>
                <w:lang w:val="fr-FR" w:eastAsia="en-US" w:bidi="ar-SA"/>
              </w:rPr>
              <w:t>×</w:t>
            </w:r>
          </w:p>
        </w:tc>
        <w:tc>
          <w:tcPr>
            <w:tcW w:w="2041" w:type="dxa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OUI</w:t>
            </w:r>
          </w:p>
        </w:tc>
        <w:tc>
          <w:tcPr>
            <w:tcW w:w="4037" w:type="dxa"/>
            <w:tcBorders>
              <w:left w:val="single" w:sz="8" w:space="0" w:color="8064A2"/>
              <w:right w:val="single" w:sz="8" w:space="0" w:color="8064A2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Avant toute nouvelle demande de subvention, la subvention précédente doit être justifiée dans la partie justification de Dauphin. A défaut de justification des années antérieures, le service ne pourra pas engager les dépenses. </w:t>
            </w:r>
          </w:p>
        </w:tc>
      </w:tr>
    </w:tbl>
    <w:p>
      <w:pPr>
        <w:pStyle w:val="Normal"/>
        <w:spacing w:before="0" w:after="200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94d4a"/>
    <w:rPr>
      <w:rFonts w:ascii="Segoe UI" w:hAnsi="Segoe UI" w:cs="Segoe UI"/>
      <w:sz w:val="18"/>
      <w:szCs w:val="18"/>
    </w:rPr>
  </w:style>
  <w:style w:type="character" w:styleId="LienInternet">
    <w:name w:val="Lien Internet"/>
    <w:basedOn w:val="DefaultParagraphFont"/>
    <w:uiPriority w:val="99"/>
    <w:unhideWhenUsed/>
    <w:rsid w:val="002507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5075e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94d4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56c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eclaire-Accent4">
    <w:name w:val="Light List Accent 4"/>
    <w:basedOn w:val="TableauNormal"/>
    <w:uiPriority w:val="61"/>
    <w:rsid w:val="00b56c38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Trameclaire-Accent4">
    <w:name w:val="Light Shading Accent 4"/>
    <w:basedOn w:val="TableauNormal"/>
    <w:uiPriority w:val="60"/>
    <w:rsid w:val="00b56c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ervice-public.fr/associations/vosdroits/F290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FDC5-D6DF-4ECD-A66A-6818F86F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LibreOffice/7.2.7.2.M8$Windows_X86_64 LibreOffice_project/cf1bdbb7fdbe4cc2bde03370057fbbb79d316db5</Application>
  <AppVersion>15.0000</AppVersion>
  <Pages>2</Pages>
  <Words>357</Words>
  <Characters>1982</Characters>
  <CharactersWithSpaces>2298</CharactersWithSpaces>
  <Paragraphs>45</Paragraphs>
  <Company>Ministères Chargés des Affaires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2023-12-21T19:30:00Z</dcterms:created>
  <dc:creator>HANNAUER Marie (DR972)</dc:creator>
  <dc:description/>
  <dc:language>fr-FR</dc:language>
  <cp:lastModifiedBy>HANNAUER, Marie (DEETS-972)</cp:lastModifiedBy>
  <cp:lastPrinted>2021-12-13T20:26:00Z</cp:lastPrinted>
  <dcterms:modified xsi:type="dcterms:W3CDTF">2023-12-21T19:30:00Z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